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383" w:rsidRPr="00C92F6F" w:rsidRDefault="000D2383" w:rsidP="000D2383">
      <w:pPr>
        <w:pStyle w:val="Default"/>
        <w:rPr>
          <w:szCs w:val="23"/>
          <w:lang w:val="en-US"/>
        </w:rPr>
      </w:pPr>
      <w:r w:rsidRPr="000D2383">
        <w:rPr>
          <w:b/>
          <w:szCs w:val="23"/>
          <w:lang w:val="en-US"/>
        </w:rPr>
        <w:t xml:space="preserve">Electrical stimulation to treat retinitis </w:t>
      </w:r>
      <w:proofErr w:type="spellStart"/>
      <w:r w:rsidRPr="000D2383">
        <w:rPr>
          <w:b/>
          <w:szCs w:val="23"/>
          <w:lang w:val="en-US"/>
        </w:rPr>
        <w:t>pigmentosa</w:t>
      </w:r>
      <w:proofErr w:type="spellEnd"/>
      <w:r w:rsidRPr="000D2383">
        <w:rPr>
          <w:b/>
          <w:szCs w:val="23"/>
          <w:lang w:val="en-US"/>
        </w:rPr>
        <w:t xml:space="preserve"> – results from a first randomized controlled pilot study</w:t>
      </w:r>
      <w:r w:rsidRPr="00C92F6F">
        <w:rPr>
          <w:szCs w:val="23"/>
          <w:lang w:val="en-US"/>
        </w:rPr>
        <w:t xml:space="preserve"> </w:t>
      </w:r>
      <w:r>
        <w:rPr>
          <w:szCs w:val="23"/>
          <w:lang w:val="en-US"/>
        </w:rPr>
        <w:tab/>
      </w:r>
      <w:r>
        <w:rPr>
          <w:szCs w:val="23"/>
          <w:lang w:val="en-US"/>
        </w:rPr>
        <w:tab/>
      </w:r>
    </w:p>
    <w:p w:rsidR="000D2383" w:rsidRPr="00042943" w:rsidRDefault="000D2383" w:rsidP="000D2383">
      <w:pPr>
        <w:pStyle w:val="Default"/>
        <w:rPr>
          <w:b/>
          <w:szCs w:val="23"/>
          <w:lang w:val="en-US"/>
        </w:rPr>
      </w:pPr>
    </w:p>
    <w:p w:rsidR="000D2383" w:rsidRPr="00042943" w:rsidRDefault="000D2383" w:rsidP="000D2383">
      <w:pPr>
        <w:pStyle w:val="Default"/>
        <w:rPr>
          <w:b/>
          <w:szCs w:val="23"/>
          <w:lang w:val="en-US"/>
        </w:rPr>
      </w:pPr>
    </w:p>
    <w:p w:rsidR="000D2383" w:rsidRDefault="000D2383" w:rsidP="000D2383">
      <w:pPr>
        <w:pStyle w:val="Default"/>
        <w:jc w:val="right"/>
        <w:rPr>
          <w:b/>
          <w:szCs w:val="23"/>
          <w:lang w:val="en-US"/>
        </w:rPr>
      </w:pPr>
      <w:r w:rsidRPr="00130334">
        <w:rPr>
          <w:b/>
          <w:szCs w:val="23"/>
          <w:lang w:val="en-US"/>
        </w:rPr>
        <w:lastRenderedPageBreak/>
        <w:t xml:space="preserve">PD Dr. Florian </w:t>
      </w:r>
      <w:proofErr w:type="spellStart"/>
      <w:r w:rsidRPr="00130334">
        <w:rPr>
          <w:b/>
          <w:szCs w:val="23"/>
          <w:lang w:val="en-US"/>
        </w:rPr>
        <w:t>Gekeler</w:t>
      </w:r>
      <w:proofErr w:type="spellEnd"/>
    </w:p>
    <w:p w:rsidR="000D2383" w:rsidRDefault="000D2383" w:rsidP="000D2383">
      <w:pPr>
        <w:pStyle w:val="Default"/>
        <w:jc w:val="right"/>
        <w:rPr>
          <w:szCs w:val="23"/>
          <w:lang w:val="en-US"/>
        </w:rPr>
      </w:pPr>
      <w:r w:rsidRPr="00130334">
        <w:rPr>
          <w:szCs w:val="23"/>
          <w:lang w:val="en-US"/>
        </w:rPr>
        <w:t>Centre fo</w:t>
      </w:r>
      <w:r>
        <w:rPr>
          <w:szCs w:val="23"/>
          <w:lang w:val="en-US"/>
        </w:rPr>
        <w:t>r Ophthalmology</w:t>
      </w:r>
    </w:p>
    <w:p w:rsidR="000D2383" w:rsidRDefault="000D2383" w:rsidP="000D2383">
      <w:pPr>
        <w:pStyle w:val="Default"/>
        <w:jc w:val="right"/>
        <w:rPr>
          <w:szCs w:val="23"/>
          <w:lang w:val="en-US"/>
        </w:rPr>
      </w:pPr>
      <w:r>
        <w:rPr>
          <w:szCs w:val="23"/>
          <w:lang w:val="en-US"/>
        </w:rPr>
        <w:t xml:space="preserve"> University Eye Hospital</w:t>
      </w:r>
    </w:p>
    <w:p w:rsidR="000D2383" w:rsidRDefault="000D2383" w:rsidP="000D2383">
      <w:pPr>
        <w:pStyle w:val="Default"/>
        <w:jc w:val="right"/>
        <w:rPr>
          <w:szCs w:val="23"/>
          <w:lang w:val="en-US"/>
        </w:rPr>
      </w:pPr>
      <w:r>
        <w:rPr>
          <w:szCs w:val="23"/>
          <w:lang w:val="en-US"/>
        </w:rPr>
        <w:t>University of Tübingen</w:t>
      </w:r>
    </w:p>
    <w:p w:rsidR="000D2383" w:rsidRPr="00130334" w:rsidRDefault="000D2383" w:rsidP="000D2383">
      <w:pPr>
        <w:pStyle w:val="Default"/>
        <w:jc w:val="right"/>
        <w:rPr>
          <w:szCs w:val="23"/>
          <w:lang w:val="en-US"/>
        </w:rPr>
      </w:pPr>
      <w:r w:rsidRPr="00130334">
        <w:rPr>
          <w:szCs w:val="23"/>
          <w:lang w:val="en-US"/>
        </w:rPr>
        <w:t>Tübingen, Germany</w:t>
      </w:r>
    </w:p>
    <w:p w:rsidR="000D2383" w:rsidRPr="000D2383" w:rsidRDefault="000D2383" w:rsidP="000D2383">
      <w:pPr>
        <w:pStyle w:val="Default"/>
        <w:rPr>
          <w:b/>
          <w:szCs w:val="23"/>
          <w:lang w:val="en-US"/>
        </w:rPr>
      </w:pPr>
    </w:p>
    <w:p w:rsidR="000D2383" w:rsidRPr="000D2383" w:rsidRDefault="000D2383" w:rsidP="000D2383">
      <w:pPr>
        <w:pStyle w:val="Default"/>
        <w:rPr>
          <w:b/>
          <w:szCs w:val="23"/>
          <w:lang w:val="en-US"/>
        </w:rPr>
        <w:sectPr w:rsidR="000D2383" w:rsidRPr="000D2383" w:rsidSect="00C92F6F">
          <w:pgSz w:w="11907" w:h="16840" w:code="9"/>
          <w:pgMar w:top="1134" w:right="1134" w:bottom="1134" w:left="1134" w:header="709" w:footer="709" w:gutter="0"/>
          <w:cols w:num="2" w:space="708"/>
          <w:docGrid w:linePitch="360"/>
        </w:sectPr>
      </w:pPr>
    </w:p>
    <w:p w:rsidR="000D2383" w:rsidRPr="000D2383" w:rsidRDefault="000D2383" w:rsidP="000D2383">
      <w:pPr>
        <w:pStyle w:val="Default"/>
        <w:rPr>
          <w:b/>
          <w:szCs w:val="23"/>
          <w:lang w:val="en-US"/>
        </w:rPr>
      </w:pPr>
    </w:p>
    <w:p w:rsidR="000D2383" w:rsidRPr="000D2383" w:rsidRDefault="000D2383" w:rsidP="000D2383">
      <w:pPr>
        <w:pStyle w:val="Default"/>
        <w:rPr>
          <w:b/>
          <w:szCs w:val="23"/>
          <w:lang w:val="en-US"/>
        </w:rPr>
      </w:pPr>
    </w:p>
    <w:p w:rsidR="000D2383" w:rsidRDefault="000D2383" w:rsidP="000D2383">
      <w:pPr>
        <w:jc w:val="both"/>
        <w:rPr>
          <w:rFonts w:ascii="Arial" w:hAnsi="Arial" w:cs="Arial"/>
          <w:sz w:val="24"/>
          <w:szCs w:val="23"/>
          <w:lang w:val="en-US"/>
        </w:rPr>
      </w:pPr>
      <w:bookmarkStart w:id="0" w:name="_GoBack"/>
      <w:bookmarkEnd w:id="0"/>
      <w:r w:rsidRPr="000D2383">
        <w:rPr>
          <w:rFonts w:ascii="Arial" w:hAnsi="Arial" w:cs="Arial"/>
          <w:sz w:val="24"/>
          <w:szCs w:val="23"/>
          <w:lang w:val="en-US"/>
        </w:rPr>
        <w:t xml:space="preserve">For several years </w:t>
      </w:r>
      <w:proofErr w:type="spellStart"/>
      <w:r w:rsidRPr="000D2383">
        <w:rPr>
          <w:rFonts w:ascii="Arial" w:hAnsi="Arial" w:cs="Arial"/>
          <w:sz w:val="24"/>
          <w:szCs w:val="23"/>
          <w:lang w:val="en-US"/>
        </w:rPr>
        <w:t>transcorneal</w:t>
      </w:r>
      <w:proofErr w:type="spellEnd"/>
      <w:r w:rsidRPr="000D2383">
        <w:rPr>
          <w:rFonts w:ascii="Arial" w:hAnsi="Arial" w:cs="Arial"/>
          <w:sz w:val="24"/>
          <w:szCs w:val="23"/>
          <w:lang w:val="en-US"/>
        </w:rPr>
        <w:t xml:space="preserve"> electrical stimulation (TES) with weak currents has been propagated to treat retinal degenerative diseases, most prominently retinitis </w:t>
      </w:r>
      <w:proofErr w:type="spellStart"/>
      <w:r w:rsidRPr="000D2383">
        <w:rPr>
          <w:rFonts w:ascii="Arial" w:hAnsi="Arial" w:cs="Arial"/>
          <w:sz w:val="24"/>
          <w:szCs w:val="23"/>
          <w:lang w:val="en-US"/>
        </w:rPr>
        <w:t>pigmentosa</w:t>
      </w:r>
      <w:proofErr w:type="spellEnd"/>
      <w:r w:rsidRPr="000D2383">
        <w:rPr>
          <w:rFonts w:ascii="Arial" w:hAnsi="Arial" w:cs="Arial"/>
          <w:sz w:val="24"/>
          <w:szCs w:val="23"/>
          <w:lang w:val="en-US"/>
        </w:rPr>
        <w:t xml:space="preserve"> (RP). The effect of TES has been attributed to the release of various </w:t>
      </w:r>
      <w:proofErr w:type="spellStart"/>
      <w:r w:rsidRPr="000D2383">
        <w:rPr>
          <w:rFonts w:ascii="Arial" w:hAnsi="Arial" w:cs="Arial"/>
          <w:sz w:val="24"/>
          <w:szCs w:val="23"/>
          <w:lang w:val="en-US"/>
        </w:rPr>
        <w:t>neuro</w:t>
      </w:r>
      <w:proofErr w:type="spellEnd"/>
      <w:r w:rsidRPr="000D2383">
        <w:rPr>
          <w:rFonts w:ascii="Arial" w:hAnsi="Arial" w:cs="Arial"/>
          <w:sz w:val="24"/>
          <w:szCs w:val="23"/>
          <w:lang w:val="en-US"/>
        </w:rPr>
        <w:t xml:space="preserve">-protective factors. However, until recently no controlled studies have been available. </w:t>
      </w:r>
    </w:p>
    <w:p w:rsidR="000D2383" w:rsidRPr="000D2383" w:rsidRDefault="000D2383" w:rsidP="000D2383">
      <w:pPr>
        <w:jc w:val="both"/>
        <w:rPr>
          <w:rFonts w:ascii="Arial" w:hAnsi="Arial" w:cs="Arial"/>
          <w:sz w:val="24"/>
          <w:szCs w:val="23"/>
          <w:lang w:val="en-US"/>
        </w:rPr>
      </w:pPr>
    </w:p>
    <w:p w:rsidR="000D2383" w:rsidRDefault="000D2383" w:rsidP="000D2383">
      <w:pPr>
        <w:jc w:val="both"/>
        <w:rPr>
          <w:rFonts w:ascii="Arial" w:hAnsi="Arial" w:cs="Arial"/>
          <w:sz w:val="24"/>
          <w:szCs w:val="23"/>
          <w:lang w:val="en-US"/>
        </w:rPr>
      </w:pPr>
      <w:r w:rsidRPr="000D2383">
        <w:rPr>
          <w:rFonts w:ascii="Arial" w:hAnsi="Arial" w:cs="Arial"/>
          <w:sz w:val="24"/>
          <w:szCs w:val="23"/>
          <w:lang w:val="en-US"/>
        </w:rPr>
        <w:t xml:space="preserve">We have therefore conducted a first prospective, randomized, and controlled pilot study (Schatz et al., IOVS 2011). In this study 24 patients with RP were stimulated weekly for six consecutive weeks using DTL electrodes; duration was 30 minutes each week, frequency was 20 Hz. Patients were randomly assigned to one of three groups: 150%, 66%, or 0% (=sham) of their individual </w:t>
      </w:r>
      <w:proofErr w:type="spellStart"/>
      <w:r w:rsidRPr="000D2383">
        <w:rPr>
          <w:rFonts w:ascii="Arial" w:hAnsi="Arial" w:cs="Arial"/>
          <w:sz w:val="24"/>
          <w:szCs w:val="23"/>
          <w:lang w:val="en-US"/>
        </w:rPr>
        <w:t>phosphene</w:t>
      </w:r>
      <w:proofErr w:type="spellEnd"/>
      <w:r w:rsidRPr="000D2383">
        <w:rPr>
          <w:rFonts w:ascii="Arial" w:hAnsi="Arial" w:cs="Arial"/>
          <w:sz w:val="24"/>
          <w:szCs w:val="23"/>
          <w:lang w:val="en-US"/>
        </w:rPr>
        <w:t xml:space="preserve"> threshold for electrically evoked </w:t>
      </w:r>
      <w:proofErr w:type="spellStart"/>
      <w:r w:rsidRPr="000D2383">
        <w:rPr>
          <w:rFonts w:ascii="Arial" w:hAnsi="Arial" w:cs="Arial"/>
          <w:sz w:val="24"/>
          <w:szCs w:val="23"/>
          <w:lang w:val="en-US"/>
        </w:rPr>
        <w:t>phosphenes</w:t>
      </w:r>
      <w:proofErr w:type="spellEnd"/>
      <w:r w:rsidRPr="000D2383">
        <w:rPr>
          <w:rFonts w:ascii="Arial" w:hAnsi="Arial" w:cs="Arial"/>
          <w:sz w:val="24"/>
          <w:szCs w:val="23"/>
          <w:lang w:val="en-US"/>
        </w:rPr>
        <w:t xml:space="preserve"> at 20 Hz. Safety and efficacy were assessed at 5 scheduled visits, including quality of life, visual acuity, extended ISCEV ERG (</w:t>
      </w:r>
      <w:proofErr w:type="spellStart"/>
      <w:r w:rsidRPr="000D2383">
        <w:rPr>
          <w:rFonts w:ascii="Arial" w:hAnsi="Arial" w:cs="Arial"/>
          <w:sz w:val="24"/>
          <w:szCs w:val="23"/>
          <w:lang w:val="en-US"/>
        </w:rPr>
        <w:t>ganzfeld</w:t>
      </w:r>
      <w:proofErr w:type="spellEnd"/>
      <w:r w:rsidRPr="000D2383">
        <w:rPr>
          <w:rFonts w:ascii="Arial" w:hAnsi="Arial" w:cs="Arial"/>
          <w:sz w:val="24"/>
          <w:szCs w:val="23"/>
          <w:lang w:val="en-US"/>
        </w:rPr>
        <w:t xml:space="preserve"> and mf), rod and cone threshold, static and kinetic visual field. – TES was found safe, adverse events were symptoms of dry eye in two cases, which resolved quickly after application of lubricant eye drops. No serious adverse events were found. Most parameters improved or stabilized, only two parameters worsened, however not significantly. Visual field area increased significantly (p&gt;0.001) by 17% (</w:t>
      </w:r>
      <w:proofErr w:type="spellStart"/>
      <w:r w:rsidRPr="000D2383">
        <w:rPr>
          <w:rFonts w:ascii="Arial" w:hAnsi="Arial" w:cs="Arial"/>
          <w:sz w:val="24"/>
          <w:szCs w:val="23"/>
          <w:lang w:val="en-US"/>
        </w:rPr>
        <w:t>Goldmann</w:t>
      </w:r>
      <w:proofErr w:type="spellEnd"/>
      <w:r w:rsidRPr="000D2383">
        <w:rPr>
          <w:rFonts w:ascii="Arial" w:hAnsi="Arial" w:cs="Arial"/>
          <w:sz w:val="24"/>
          <w:szCs w:val="23"/>
          <w:lang w:val="en-US"/>
        </w:rPr>
        <w:t xml:space="preserve"> III/</w:t>
      </w:r>
      <w:proofErr w:type="spellStart"/>
      <w:r w:rsidRPr="000D2383">
        <w:rPr>
          <w:rFonts w:ascii="Arial" w:hAnsi="Arial" w:cs="Arial"/>
          <w:sz w:val="24"/>
          <w:szCs w:val="23"/>
          <w:lang w:val="en-US"/>
        </w:rPr>
        <w:t>IVe</w:t>
      </w:r>
      <w:proofErr w:type="spellEnd"/>
      <w:r w:rsidRPr="000D2383">
        <w:rPr>
          <w:rFonts w:ascii="Arial" w:hAnsi="Arial" w:cs="Arial"/>
          <w:sz w:val="24"/>
          <w:szCs w:val="23"/>
          <w:lang w:val="en-US"/>
        </w:rPr>
        <w:t xml:space="preserve">) in the subgroup of 8 patients which were stimulated with 150% current of their individual </w:t>
      </w:r>
      <w:proofErr w:type="spellStart"/>
      <w:r w:rsidRPr="000D2383">
        <w:rPr>
          <w:rFonts w:ascii="Arial" w:hAnsi="Arial" w:cs="Arial"/>
          <w:sz w:val="24"/>
          <w:szCs w:val="23"/>
          <w:lang w:val="en-US"/>
        </w:rPr>
        <w:t>phosphene</w:t>
      </w:r>
      <w:proofErr w:type="spellEnd"/>
      <w:r w:rsidRPr="000D2383">
        <w:rPr>
          <w:rFonts w:ascii="Arial" w:hAnsi="Arial" w:cs="Arial"/>
          <w:sz w:val="24"/>
          <w:szCs w:val="23"/>
          <w:lang w:val="en-US"/>
        </w:rPr>
        <w:t xml:space="preserve"> threshold; amplitudes of the </w:t>
      </w:r>
      <w:proofErr w:type="spellStart"/>
      <w:r w:rsidRPr="000D2383">
        <w:rPr>
          <w:rFonts w:ascii="Arial" w:hAnsi="Arial" w:cs="Arial"/>
          <w:sz w:val="24"/>
          <w:szCs w:val="23"/>
          <w:lang w:val="en-US"/>
        </w:rPr>
        <w:t>scotopic</w:t>
      </w:r>
      <w:proofErr w:type="spellEnd"/>
      <w:r w:rsidRPr="000D2383">
        <w:rPr>
          <w:rFonts w:ascii="Arial" w:hAnsi="Arial" w:cs="Arial"/>
          <w:sz w:val="24"/>
          <w:szCs w:val="23"/>
          <w:lang w:val="en-US"/>
        </w:rPr>
        <w:t xml:space="preserve"> b-wave amplitude increased also significantly in these patients. No significant effects were seen in the subgroups with sham stimulation and 66% stimulation (both n=8).</w:t>
      </w:r>
    </w:p>
    <w:p w:rsidR="000D2383" w:rsidRPr="000D2383" w:rsidRDefault="000D2383" w:rsidP="000D2383">
      <w:pPr>
        <w:jc w:val="both"/>
        <w:rPr>
          <w:rFonts w:ascii="Arial" w:hAnsi="Arial" w:cs="Arial"/>
          <w:sz w:val="24"/>
          <w:szCs w:val="23"/>
          <w:lang w:val="en-US"/>
        </w:rPr>
      </w:pPr>
    </w:p>
    <w:p w:rsidR="00526012" w:rsidRPr="000D2383" w:rsidRDefault="000D2383" w:rsidP="000D2383">
      <w:pPr>
        <w:jc w:val="both"/>
        <w:rPr>
          <w:lang w:val="en-US"/>
        </w:rPr>
      </w:pPr>
      <w:r w:rsidRPr="000D2383">
        <w:rPr>
          <w:rFonts w:ascii="Arial" w:hAnsi="Arial" w:cs="Arial"/>
          <w:sz w:val="24"/>
          <w:szCs w:val="23"/>
          <w:lang w:val="en-US"/>
        </w:rPr>
        <w:t>The results of the first study in TES following principles of good clinical practice in RP are favorable. However, duration of the study and the number of participants was too small to draw definitive conclusions. Therefore, studies with longer duration and more participants are currently under way to answer the remaining questions.</w:t>
      </w:r>
    </w:p>
    <w:sectPr w:rsidR="00526012" w:rsidRPr="000D2383" w:rsidSect="00C92F6F">
      <w:type w:val="continuous"/>
      <w:pgSz w:w="11907" w:h="16840"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383"/>
    <w:rsid w:val="000D2383"/>
    <w:rsid w:val="00526012"/>
    <w:rsid w:val="00633897"/>
    <w:rsid w:val="00642A97"/>
    <w:rsid w:val="00B521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D238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0D2383"/>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D238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0D238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302</Words>
  <Characters>1907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Interface GmbH &amp; Co KG</Company>
  <LinksUpToDate>false</LinksUpToDate>
  <CharactersWithSpaces>2205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Schulz</dc:creator>
  <cp:keywords/>
  <dc:description/>
  <cp:lastModifiedBy>Michaela Schulz</cp:lastModifiedBy>
  <cp:revision>1</cp:revision>
  <dcterms:created xsi:type="dcterms:W3CDTF">2012-06-29T08:12:00Z</dcterms:created>
  <dcterms:modified xsi:type="dcterms:W3CDTF">2012-06-29T08:18:00Z</dcterms:modified>
</cp:coreProperties>
</file>